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2018年度新疆喀什地区英吉沙县乌恰乡小学部门决算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新疆喀什地区英吉沙县乌恰乡小学</w:t>
      </w:r>
      <w:r>
        <w:rPr>
          <w:rFonts w:hint="eastAsia" w:ascii="仿宋_GB2312" w:eastAsia="仿宋_GB2312"/>
          <w:sz w:val="32"/>
          <w:szCs w:val="32"/>
        </w:rPr>
        <w:t>部门决算包括：</w:t>
      </w:r>
      <w:r>
        <w:rPr>
          <w:rFonts w:ascii="仿宋_GB2312" w:eastAsia="仿宋_GB2312"/>
          <w:sz w:val="32"/>
          <w:szCs w:val="32"/>
        </w:rPr>
        <w:t>新疆喀什地区英吉沙县乌恰乡小学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新疆喀什地区英吉沙县乌恰乡小学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新疆喀什地区英吉沙县乌恰乡小学</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5,746.37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，与上年相比，减少2,326.63万元，下降28.82%，减少的主要原因是：</w:t>
      </w:r>
      <w:r>
        <w:rPr>
          <w:rFonts w:hint="eastAsia" w:ascii="仿宋_GB2312" w:eastAsia="仿宋_GB2312"/>
          <w:color w:val="000000" w:themeColor="text1"/>
          <w:sz w:val="32"/>
          <w:szCs w:val="32"/>
        </w:rPr>
        <w:t>本年下发项目减少；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5,057.86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，与上年相比，减少3,015.14万元，下降37.35%，减少的主要原因是：</w:t>
      </w:r>
      <w:r>
        <w:rPr>
          <w:rFonts w:hint="eastAsia" w:ascii="仿宋_GB2312" w:eastAsia="仿宋_GB2312"/>
          <w:color w:val="000000" w:themeColor="text1"/>
          <w:sz w:val="32"/>
          <w:szCs w:val="32"/>
        </w:rPr>
        <w:t>本年下发项目减少；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688.51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，与上年相比，增加688.51万元，增长100%，增加的主要原因是：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5,746.37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5,746.37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况：本年收入年初预算数4,665.08万元</w:t>
      </w:r>
      <w:r>
        <w:rPr>
          <w:rFonts w:hint="eastAsia" w:ascii="仿宋_GB2312" w:eastAsia="仿宋_GB2312"/>
          <w:sz w:val="32"/>
          <w:szCs w:val="32"/>
        </w:rPr>
        <w:t>，决算数5,746.37万元</w:t>
      </w:r>
      <w:r>
        <w:rPr>
          <w:rFonts w:ascii="仿宋_GB2312" w:eastAsia="仿宋_GB2312"/>
          <w:sz w:val="32"/>
          <w:szCs w:val="32"/>
        </w:rPr>
        <w:t>，预决算差异率23.18%，差异主要原因是学生、特岗教师增加，特岗教师涨工资。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5,057.86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4,054.82</w:t>
      </w:r>
      <w:r>
        <w:rPr>
          <w:rFonts w:hint="eastAsia" w:ascii="仿宋_GB2312" w:eastAsia="仿宋_GB2312"/>
          <w:color w:val="000000" w:themeColor="text1"/>
          <w:sz w:val="32"/>
          <w:szCs w:val="32"/>
        </w:rPr>
        <w:t>万元，占</w:t>
      </w:r>
      <w:r>
        <w:rPr>
          <w:rFonts w:hint="eastAsia" w:ascii="仿宋_GB2312" w:eastAsia="仿宋_GB2312"/>
          <w:sz w:val="32"/>
          <w:szCs w:val="32"/>
        </w:rPr>
        <w:t>80.17%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1,003.04</w:t>
      </w:r>
      <w:r>
        <w:rPr>
          <w:rFonts w:hint="eastAsia" w:ascii="仿宋_GB2312" w:eastAsia="仿宋_GB2312"/>
          <w:color w:val="000000" w:themeColor="text1"/>
          <w:sz w:val="32"/>
          <w:szCs w:val="32"/>
        </w:rPr>
        <w:t>万元，占</w:t>
      </w:r>
      <w:r>
        <w:rPr>
          <w:rFonts w:hint="eastAsia" w:ascii="仿宋_GB2312" w:eastAsia="仿宋_GB2312"/>
          <w:sz w:val="32"/>
          <w:szCs w:val="32"/>
        </w:rPr>
        <w:t>19.83%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与年初预算数相比情况：本年支出年初预算数4,665.08万元，</w:t>
      </w:r>
      <w:r>
        <w:rPr>
          <w:rFonts w:hint="eastAsia" w:ascii="仿宋_GB2312" w:eastAsia="仿宋_GB2312"/>
          <w:sz w:val="32"/>
          <w:szCs w:val="32"/>
        </w:rPr>
        <w:t>决算数5,057.86万元</w:t>
      </w:r>
      <w:r>
        <w:rPr>
          <w:rFonts w:ascii="仿宋_GB2312" w:eastAsia="仿宋_GB2312"/>
          <w:sz w:val="32"/>
          <w:szCs w:val="32"/>
        </w:rPr>
        <w:t>，预决算差异率8.42%，差异主要原因是学生、特岗教师增加，特岗教师涨工资。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5,746.37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，与上年相比，减少2,326.63万元，下降28.82%，减少的主要原因是：本年下发项目减少。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5,057.86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，与上年相比，减少3,015.14万元，下降37.35%，减少的主要原因是：</w:t>
      </w:r>
      <w:r>
        <w:rPr>
          <w:rFonts w:ascii="仿宋_GB2312" w:eastAsia="仿宋_GB2312"/>
          <w:sz w:val="32"/>
          <w:szCs w:val="32"/>
        </w:rPr>
        <w:t>本年下发项目减少。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4,054.82</w:t>
      </w:r>
      <w:r>
        <w:rPr>
          <w:rFonts w:hint="eastAsia" w:ascii="仿宋_GB2312" w:eastAsia="仿宋_GB2312"/>
          <w:color w:val="000000" w:themeColor="text1"/>
          <w:sz w:val="32"/>
          <w:szCs w:val="32"/>
        </w:rPr>
        <w:t>万元，项目支出</w:t>
      </w:r>
      <w:r>
        <w:rPr>
          <w:rFonts w:hint="eastAsia" w:ascii="仿宋_GB2312" w:eastAsia="仿宋_GB2312"/>
          <w:sz w:val="32"/>
          <w:szCs w:val="32"/>
        </w:rPr>
        <w:t>1,003.04</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688.51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，与上年相比，增加688.51万元，增长100%，增加的主要原因是：剩余部分结余用于来年经费到达前学校的运转支出。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4,665.08</w:t>
      </w:r>
      <w:r>
        <w:rPr>
          <w:rFonts w:hint="eastAsia" w:ascii="仿宋_GB2312" w:eastAsia="仿宋_GB2312"/>
          <w:color w:val="000000" w:themeColor="text1"/>
          <w:sz w:val="32"/>
          <w:szCs w:val="32"/>
        </w:rPr>
        <w:t>万元，决算数</w:t>
      </w:r>
      <w:r>
        <w:rPr>
          <w:rFonts w:hint="eastAsia" w:ascii="仿宋_GB2312" w:eastAsia="仿宋_GB2312"/>
          <w:sz w:val="32"/>
          <w:szCs w:val="32"/>
        </w:rPr>
        <w:t>5,746.37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，预决算差异率23.18%，差异主要原因是学生、特岗教师增加，特岗教师涨工资。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4,665.08</w:t>
      </w:r>
      <w:r>
        <w:rPr>
          <w:rFonts w:hint="eastAsia" w:ascii="仿宋_GB2312" w:eastAsia="仿宋_GB2312"/>
          <w:color w:val="000000" w:themeColor="text1"/>
          <w:sz w:val="32"/>
          <w:szCs w:val="32"/>
        </w:rPr>
        <w:t>万元，决算数</w:t>
      </w:r>
      <w:r>
        <w:rPr>
          <w:rFonts w:hint="eastAsia" w:ascii="仿宋_GB2312" w:eastAsia="仿宋_GB2312"/>
          <w:sz w:val="32"/>
          <w:szCs w:val="32"/>
        </w:rPr>
        <w:t>5,057.86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，预决算差异率8.42%，差异主要原因是学生、特岗教师增加，特岗教师涨工资。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5,745.62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，与上年相比，减少2,316.38万元，下降28.73%，减少的主要原因是：本年下发项目减少。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5,057.11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，与上年相比，减少3,004.89万元，下降37.27%，减少的主要原因是：本年下发项目减少。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教育支出4,620.54万元,社会保障和就业支出436.57万元。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工资福利支出3,922.45万元,商品和服务支出330.36万元,对个人和家庭的补助799.3万元，资本性支出5.00万元。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4,665.08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5,745.62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，预决算差异率23.16%，差异主要原因是学生、特岗教师增加，特岗教师涨工资。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4,665.08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5,057.11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，预决算差异率8.4%，差异主要原因是学生、特岗教师增加，特岗教师涨工资。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，与上年相比，减少10.25万元，下降93.18%，减少的主要原因是：少年宫资金减少。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，与上年相比，减少10.25万元，下降93.18%，减少的主要原因是：少年宫资金减少。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，其他支出0.75万元。按经济分类科目（按类级科目公开），资本性支出0.75万元。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，预决算差异率100%，差异主要原因是少年宫资金减少。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，预决算差异率100%，差异主要原因是少年宫资金减少。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688.51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。与上年相比，增加688.51万元，增长100%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688.51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。与上年相比，增加688.51万元，增长100%。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sz w:val="32"/>
          <w:szCs w:val="32"/>
        </w:rPr>
      </w:pPr>
      <w:bookmarkStart w:id="56" w:name="OLE_LINK79"/>
      <w:bookmarkStart w:id="57" w:name="OLE_LINK80"/>
      <w:r>
        <w:rPr>
          <w:rFonts w:hint="eastAsia" w:ascii="仿宋_GB2312" w:eastAsia="仿宋_GB2312"/>
          <w:sz w:val="32"/>
          <w:szCs w:val="32"/>
        </w:rPr>
        <w:t>2018年度一般公共预算“三公”经费支出决算0万元，比上年增加0万元，增长0%，增加原因是：无“三公”经费支出。其中，因公出国（境）费支出0万元，占0%，比上年增加0万元，增长0%，增加（减少）原因是：无“三公”经费支出；公务用车购置及运行维护费支出0万元，占0%，比上年增长0万元，增长0%，增加原因是：无“三公”经费支出；公务接待费支出0万元，占0%，比上年增加0万元，增长0%，增加原因是：无“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新疆喀什地区英吉沙县乌恰小学</w:t>
      </w:r>
      <w:r>
        <w:rPr>
          <w:rFonts w:hint="eastAsia" w:ascii="仿宋_GB2312" w:eastAsia="仿宋_GB2312"/>
          <w:color w:val="000000"/>
          <w:sz w:val="32"/>
          <w:szCs w:val="32"/>
        </w:rPr>
        <w:t>单位</w:t>
      </w:r>
      <w:bookmarkStart w:id="58" w:name="OLE_LINK33"/>
      <w:r>
        <w:rPr>
          <w:rFonts w:hint="eastAsia" w:ascii="仿宋_GB2312" w:eastAsia="仿宋_GB2312"/>
          <w:color w:val="000000"/>
          <w:sz w:val="32"/>
          <w:szCs w:val="32"/>
        </w:rPr>
        <w:t>全年</w:t>
      </w:r>
      <w:bookmarkStart w:id="59" w:name="OLE_LINK34"/>
      <w:bookmarkStart w:id="60" w:name="OLE_LINK35"/>
      <w:bookmarkStart w:id="61" w:name="OLE_LINK36"/>
      <w:r>
        <w:rPr>
          <w:rFonts w:hint="eastAsia" w:ascii="仿宋_GB2312" w:eastAsia="仿宋_GB2312"/>
          <w:color w:val="000000"/>
          <w:sz w:val="32"/>
          <w:szCs w:val="32"/>
        </w:rPr>
        <w:t>使用一般公共预算财政拨款安排的出国（境）团组</w:t>
      </w:r>
      <w:bookmarkEnd w:id="58"/>
      <w:bookmarkEnd w:id="59"/>
      <w:bookmarkEnd w:id="60"/>
      <w:r>
        <w:rPr>
          <w:rFonts w:ascii="仿宋_GB2312" w:eastAsia="仿宋_GB2312"/>
          <w:sz w:val="32"/>
          <w:szCs w:val="32"/>
        </w:rPr>
        <w:t>0</w:t>
      </w:r>
      <w:r>
        <w:rPr>
          <w:rFonts w:hint="eastAsia" w:ascii="仿宋_GB2312" w:eastAsia="仿宋_GB2312"/>
          <w:color w:val="000000"/>
          <w:sz w:val="32"/>
          <w:szCs w:val="32"/>
        </w:rPr>
        <w:t>个</w:t>
      </w:r>
      <w:bookmarkEnd w:id="61"/>
      <w:r>
        <w:rPr>
          <w:rFonts w:hint="eastAsia" w:ascii="仿宋_GB2312" w:eastAsia="仿宋_GB2312"/>
          <w:color w:val="000000"/>
          <w:sz w:val="32"/>
          <w:szCs w:val="32"/>
        </w:rPr>
        <w:t>，</w:t>
      </w:r>
      <w:bookmarkStart w:id="62"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62"/>
      <w:r>
        <w:rPr>
          <w:rFonts w:hint="eastAsia" w:ascii="仿宋_GB2312" w:eastAsia="仿宋_GB2312"/>
          <w:color w:val="000000"/>
          <w:sz w:val="32"/>
          <w:szCs w:val="32"/>
        </w:rPr>
        <w:t>。</w:t>
      </w:r>
      <w:bookmarkStart w:id="63"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56"/>
      <w:bookmarkEnd w:id="57"/>
      <w:bookmarkEnd w:id="63"/>
    </w:p>
    <w:p>
      <w:pPr>
        <w:spacing w:line="540" w:lineRule="exact"/>
        <w:ind w:firstLine="640" w:firstLineChars="200"/>
        <w:rPr>
          <w:rFonts w:ascii="仿宋_GB2312" w:eastAsia="仿宋_GB2312"/>
          <w:color w:val="000000"/>
          <w:sz w:val="32"/>
          <w:szCs w:val="32"/>
        </w:rPr>
      </w:pPr>
      <w:bookmarkStart w:id="64"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65"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65"/>
      <w:r>
        <w:rPr>
          <w:rFonts w:hint="eastAsia" w:ascii="仿宋_GB2312" w:eastAsia="仿宋_GB2312"/>
          <w:color w:val="000000"/>
          <w:sz w:val="32"/>
          <w:szCs w:val="32"/>
        </w:rPr>
        <w:t>，</w:t>
      </w:r>
      <w:bookmarkStart w:id="66" w:name="OLE_LINK41"/>
      <w:bookmarkStart w:id="67" w:name="OLE_LINK40"/>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66"/>
      <w:bookmarkEnd w:id="67"/>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4"/>
      <w:bookmarkStart w:id="68"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8"/>
    </w:p>
    <w:p>
      <w:pPr>
        <w:spacing w:line="540" w:lineRule="exact"/>
        <w:ind w:firstLine="640" w:firstLineChars="200"/>
        <w:rPr>
          <w:rFonts w:ascii="仿宋_GB2312" w:eastAsia="仿宋_GB2312"/>
          <w:color w:val="000000"/>
          <w:sz w:val="32"/>
          <w:szCs w:val="32"/>
        </w:rPr>
      </w:pPr>
      <w:bookmarkStart w:id="69"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万元，主要是：无</w:t>
      </w:r>
      <w:r>
        <w:rPr>
          <w:rFonts w:hint="eastAsia" w:ascii="仿宋_GB2312" w:eastAsia="仿宋_GB2312"/>
          <w:sz w:val="32"/>
          <w:szCs w:val="32"/>
        </w:rPr>
        <w:t>“三公”经费支出</w:t>
      </w:r>
      <w:r>
        <w:rPr>
          <w:rFonts w:hint="eastAsia" w:ascii="仿宋_GB2312" w:eastAsia="仿宋_GB2312"/>
          <w:color w:val="000000"/>
          <w:sz w:val="32"/>
          <w:szCs w:val="32"/>
        </w:rPr>
        <w:t>等。</w:t>
      </w:r>
      <w:bookmarkEnd w:id="69"/>
      <w:bookmarkStart w:id="70" w:name="OLE_LINK84"/>
      <w:r>
        <w:rPr>
          <w:rFonts w:hint="eastAsia" w:ascii="仿宋_GB2312" w:eastAsia="仿宋_GB2312"/>
          <w:sz w:val="32"/>
          <w:szCs w:val="32"/>
        </w:rPr>
        <w:t>新疆喀什地区英吉沙县乌恰小学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70"/>
    </w:p>
    <w:p>
      <w:pPr>
        <w:spacing w:line="540" w:lineRule="exact"/>
        <w:ind w:firstLine="640" w:firstLineChars="200"/>
        <w:rPr>
          <w:rFonts w:ascii="仿宋_GB2312" w:eastAsia="仿宋_GB2312"/>
          <w:color w:val="000000"/>
          <w:sz w:val="32"/>
          <w:szCs w:val="32"/>
        </w:rPr>
      </w:pPr>
      <w:bookmarkStart w:id="71"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1"/>
      <w:bookmarkStart w:id="72" w:name="OLE_LINK86"/>
      <w:bookmarkStart w:id="73"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2"/>
      <w:bookmarkEnd w:id="73"/>
      <w:bookmarkStart w:id="74" w:name="OLE_LINK89"/>
      <w:bookmarkStart w:id="75" w:name="OLE_LINK88"/>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4"/>
      <w:bookmarkEnd w:id="75"/>
      <w:bookmarkStart w:id="76"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6"/>
      <w:bookmarkStart w:id="77"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w:t>
      </w:r>
      <w:bookmarkEnd w:id="77"/>
      <w:r>
        <w:rPr>
          <w:rFonts w:hint="eastAsia" w:ascii="仿宋_GB2312" w:eastAsia="仿宋_GB2312"/>
          <w:color w:val="000000"/>
          <w:sz w:val="32"/>
          <w:szCs w:val="32"/>
        </w:rPr>
        <w:t>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新疆喀什地区英吉沙县乌恰乡小学日常公用经费0万元，与上年相比，减少540.05万元，下降100%，减少的主要原因是：无机关运行经费支出。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8" w:name="OLE_LINK45"/>
      <w:r>
        <w:rPr>
          <w:rFonts w:hint="eastAsia" w:ascii="仿宋_GB2312" w:eastAsia="仿宋_GB2312"/>
          <w:color w:val="000000" w:themeColor="text1"/>
          <w:sz w:val="32"/>
          <w:szCs w:val="32"/>
        </w:rPr>
        <w:t>政府采购支出总额</w:t>
      </w:r>
      <w:bookmarkEnd w:id="78"/>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9" w:name="OLE_LINK46"/>
      <w:r>
        <w:rPr>
          <w:rFonts w:hint="eastAsia" w:ascii="仿宋_GB2312" w:eastAsia="仿宋_GB2312"/>
          <w:color w:val="000000" w:themeColor="text1"/>
          <w:sz w:val="32"/>
          <w:szCs w:val="32"/>
        </w:rPr>
        <w:t>政府采购货物支出</w:t>
      </w:r>
      <w:bookmarkEnd w:id="7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0" w:name="OLE_LINK47"/>
      <w:r>
        <w:rPr>
          <w:rFonts w:hint="eastAsia" w:ascii="仿宋_GB2312" w:eastAsia="仿宋_GB2312"/>
          <w:color w:val="000000" w:themeColor="text1"/>
          <w:sz w:val="32"/>
          <w:szCs w:val="32"/>
        </w:rPr>
        <w:t>政府采购工程支出</w:t>
      </w:r>
      <w:bookmarkEnd w:id="80"/>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1" w:name="OLE_LINK48"/>
      <w:r>
        <w:rPr>
          <w:rFonts w:hint="eastAsia" w:ascii="仿宋_GB2312" w:eastAsia="仿宋_GB2312"/>
          <w:color w:val="000000" w:themeColor="text1"/>
          <w:sz w:val="32"/>
          <w:szCs w:val="32"/>
        </w:rPr>
        <w:t>政府采购服务支出</w:t>
      </w:r>
      <w:bookmarkEnd w:id="81"/>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2"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英吉沙县乌恰乡小学2018年度部门预算总额为</w:t>
      </w:r>
      <w:r>
        <w:rPr>
          <w:rFonts w:hint="eastAsia" w:ascii="仿宋_GB2312" w:eastAsia="仿宋_GB2312"/>
          <w:sz w:val="32"/>
          <w:szCs w:val="32"/>
          <w:lang w:val="en-US" w:eastAsia="zh-CN"/>
        </w:rPr>
        <w:t>644.31</w:t>
      </w:r>
      <w:r>
        <w:rPr>
          <w:rFonts w:ascii="仿宋_GB2312" w:eastAsia="仿宋_GB2312"/>
          <w:sz w:val="32"/>
          <w:szCs w:val="32"/>
        </w:rPr>
        <w:t>万元，执行金额为</w:t>
      </w:r>
      <w:r>
        <w:rPr>
          <w:rFonts w:hint="eastAsia" w:ascii="仿宋_GB2312" w:eastAsia="仿宋_GB2312"/>
          <w:sz w:val="32"/>
          <w:szCs w:val="32"/>
          <w:lang w:val="en-US" w:eastAsia="zh-CN"/>
        </w:rPr>
        <w:t>644.31</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6</w:t>
      </w:r>
      <w:r>
        <w:rPr>
          <w:rFonts w:ascii="仿宋_GB2312" w:eastAsia="仿宋_GB2312"/>
          <w:sz w:val="32"/>
          <w:szCs w:val="32"/>
        </w:rPr>
        <w:t>个，其中已完成项目</w:t>
      </w:r>
      <w:r>
        <w:rPr>
          <w:rFonts w:hint="eastAsia" w:ascii="仿宋_GB2312" w:eastAsia="仿宋_GB2312"/>
          <w:sz w:val="32"/>
          <w:szCs w:val="32"/>
          <w:lang w:val="en-US" w:eastAsia="zh-CN"/>
        </w:rPr>
        <w:t>6</w:t>
      </w:r>
      <w:r>
        <w:rPr>
          <w:rFonts w:ascii="仿宋_GB2312" w:eastAsia="仿宋_GB2312"/>
          <w:sz w:val="32"/>
          <w:szCs w:val="32"/>
        </w:rPr>
        <w:t>个、未完成项目0个，项目总体完成率为100%，各项目支出管理过程较为规范，预期绩效目标完成情况良好。通</w:t>
      </w:r>
      <w:bookmarkStart w:id="83" w:name="_GoBack"/>
      <w:bookmarkEnd w:id="83"/>
      <w:r>
        <w:rPr>
          <w:rFonts w:ascii="仿宋_GB2312" w:eastAsia="仿宋_GB2312"/>
          <w:sz w:val="32"/>
          <w:szCs w:val="32"/>
        </w:rPr>
        <w:t>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进一步完善集中连片特困县乡村教师生活补贴政策资金项目绩效自评综述：根据年初设定的绩效目标，该项目绩效自评得分为95分。项目全年预算数为98.89万元，执行数为98.89万元，完成预算的100%。主要产出和效果：有效稳</w:t>
      </w:r>
      <w:r>
        <w:rPr>
          <w:rFonts w:hint="eastAsia" w:ascii="仿宋_GB2312" w:hAnsi="仿宋_GB2312" w:eastAsia="仿宋_GB2312" w:cs="仿宋_GB2312"/>
          <w:color w:val="000000"/>
          <w:sz w:val="32"/>
        </w:rPr>
        <w:t>固</w:t>
      </w:r>
      <w:r>
        <w:rPr>
          <w:rFonts w:ascii="仿宋_GB2312" w:hAnsi="仿宋_GB2312" w:eastAsia="仿宋_GB2312" w:cs="仿宋_GB2312"/>
          <w:color w:val="000000"/>
          <w:sz w:val="32"/>
        </w:rPr>
        <w:t>师资队伍，补充偏远地区教育教学短板，有效推行</w:t>
      </w:r>
      <w:r>
        <w:rPr>
          <w:rFonts w:hint="eastAsia" w:ascii="仿宋_GB2312" w:hAnsi="仿宋_GB2312" w:eastAsia="仿宋_GB2312" w:cs="仿宋_GB2312"/>
          <w:color w:val="000000"/>
          <w:sz w:val="32"/>
        </w:rPr>
        <w:t>普通话</w:t>
      </w:r>
      <w:r>
        <w:rPr>
          <w:rFonts w:ascii="仿宋_GB2312" w:hAnsi="仿宋_GB2312" w:eastAsia="仿宋_GB2312" w:cs="仿宋_GB2312"/>
          <w:color w:val="000000"/>
          <w:sz w:val="32"/>
        </w:rPr>
        <w:t>教学教育发现的问题及原因：无特别说明问题下一步改进措施：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color w:val="000000"/>
          <w:sz w:val="32"/>
        </w:rPr>
        <w:t>2、义务教育阶段学校班主任津贴项目绩效自评综述：根据年初设定的绩效目标，该项目绩效自评得分为95分。项目全年预算数为7.5万元，执行数为7.5万元，完成预算的100%。主要产出和效果：有效稳</w:t>
      </w:r>
      <w:r>
        <w:rPr>
          <w:rFonts w:hint="eastAsia" w:ascii="仿宋_GB2312" w:hAnsi="仿宋_GB2312" w:eastAsia="仿宋_GB2312" w:cs="仿宋_GB2312"/>
          <w:color w:val="000000"/>
          <w:sz w:val="32"/>
        </w:rPr>
        <w:t>固</w:t>
      </w:r>
      <w:r>
        <w:rPr>
          <w:rFonts w:ascii="仿宋_GB2312" w:hAnsi="仿宋_GB2312" w:eastAsia="仿宋_GB2312" w:cs="仿宋_GB2312"/>
          <w:color w:val="000000"/>
          <w:sz w:val="32"/>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少年宫建设资金项目绩效自评综述：根据年初设定的绩效目标，该项目绩效自评得分为95分。项目全年预算数为0.75万元，执行数为0.75万元，完成预算的100%。主要产出和效果：为义务教育阶段学生提供丰富的课余活动场所，促进学生多方面发展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4</w:t>
      </w:r>
      <w:r>
        <w:rPr>
          <w:rFonts w:ascii="仿宋_GB2312" w:hAnsi="仿宋_GB2312" w:eastAsia="仿宋_GB2312" w:cs="仿宋_GB2312"/>
          <w:color w:val="000000"/>
          <w:sz w:val="32"/>
        </w:rPr>
        <w:t>、农村义务教育学生营养改善计划国家试点县市补助资金项目绩效自评综述：根据年初设定的绩效目标，该项目绩效自评得分为95分。项目全年预算数为224.67万元，执行数为224.67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农村义务教育家庭经济困难学生生生活补助资金项目绩效自评综述：根据年初设定的绩效目标，该项目绩效自评得分为95分。项目全年预算数为96.56万元，执行数为96.56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农村义务教育经费保障机制公用经费补助资金项目绩效自评综述：根据年初设定的绩效目标，该项目绩效自评得分为95分。项目全年预算数为215.94万元，执行数为215.94万元，完成预算的100%。主要产出和效果：保障义务教育阶段学校正常运转，为义务教育阶段学生提供有益的学习生活环境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229（类）60（款）04（项）指：用于教育事业的彩票公益金支出。205（类）02（款）99（项）指：其他普通教育支出。205（类）02（款）02（项）指：小学教育。205（类）02（款）01（项）指：学前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英吉沙县乌恰乡小学</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- 8 -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C76EB"/>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87E"/>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35E"/>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66144"/>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8AA"/>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95E4D"/>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474"/>
    <w:rsid w:val="00FA29D8"/>
    <w:rsid w:val="00FA5F5D"/>
    <w:rsid w:val="00FB0BA6"/>
    <w:rsid w:val="00FC29A0"/>
    <w:rsid w:val="00FC6C17"/>
    <w:rsid w:val="00FE48DB"/>
    <w:rsid w:val="00FF3620"/>
    <w:rsid w:val="00FF3A84"/>
    <w:rsid w:val="01110239"/>
    <w:rsid w:val="028847F9"/>
    <w:rsid w:val="03AA79F6"/>
    <w:rsid w:val="04741FE5"/>
    <w:rsid w:val="04DB02C7"/>
    <w:rsid w:val="06613F23"/>
    <w:rsid w:val="06B856EE"/>
    <w:rsid w:val="07BF301D"/>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5E3685B"/>
    <w:rsid w:val="2680023E"/>
    <w:rsid w:val="29680352"/>
    <w:rsid w:val="2A020F75"/>
    <w:rsid w:val="2AD24D89"/>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182BEF"/>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C84A62"/>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2D4ABD"/>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1123</Words>
  <Characters>6406</Characters>
  <Lines>53</Lines>
  <Paragraphs>15</Paragraphs>
  <TotalTime>11</TotalTime>
  <ScaleCrop>false</ScaleCrop>
  <LinksUpToDate>false</LinksUpToDate>
  <CharactersWithSpaces>7514</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2021-07-13T15:52:54Z</dcterms:modified>
  <cp:revision>816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